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aps/>
        </w:rPr>
        <w:t>O</w:t>
      </w:r>
      <w:r>
        <w:rPr>
          <w:b/>
        </w:rPr>
        <w:t xml:space="preserve">brazac prijave za </w:t>
      </w:r>
      <w:r>
        <w:rPr>
          <w:b/>
          <w:bCs/>
          <w:color w:val="000000"/>
        </w:rPr>
        <w:t xml:space="preserve">Javni poziv </w:t>
      </w:r>
    </w:p>
    <w:p>
      <w:pPr>
        <w:pStyle w:val="Normal"/>
        <w:jc w:val="center"/>
        <w:rPr/>
      </w:pPr>
      <w:r>
        <w:rPr>
          <w:rFonts w:cs="Times New Roman"/>
          <w:b/>
          <w:bCs/>
          <w:color w:val="000000"/>
          <w:lang w:eastAsia="hr-HR"/>
        </w:rPr>
        <w:t xml:space="preserve">za finansiranje/sufinansiranje programa i projekata neprofitnih organizacija i udruženja sredstvima Budžeta Kantona Sarajevo za 2026. godinu </w:t>
      </w:r>
      <w:r>
        <w:rPr>
          <w:b/>
        </w:rPr>
        <w:t xml:space="preserve"> sa popisom priloga dostavljene dokumentacije </w:t>
      </w:r>
    </w:p>
    <w:p>
      <w:pPr>
        <w:pStyle w:val="Normal"/>
        <w:jc w:val="center"/>
        <w:rPr/>
      </w:pPr>
      <w:r>
        <w:rPr>
          <w:b/>
        </w:rPr>
        <w:t>( za neprofitne organizacije)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518" w:type="dxa"/>
        <w:jc w:val="left"/>
        <w:tblInd w:w="-35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1"/>
        <w:gridCol w:w="1418"/>
        <w:gridCol w:w="3017"/>
        <w:gridCol w:w="1081"/>
        <w:gridCol w:w="1080"/>
        <w:gridCol w:w="1088"/>
        <w:gridCol w:w="1230"/>
        <w:gridCol w:w="891"/>
      </w:tblGrid>
      <w:tr>
        <w:trPr>
          <w:trHeight w:val="1133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Naziv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Puni naziv programa/projekta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52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4.1.2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Podnosioc prijave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Naziv podnosioca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Organizacioni oblik podnosioca-Identifikacioni broj/za pravna lica, fizičko lice i sl.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Naziv i adresa banke u kojoj je račun otvoren, broj transakcijskog računa/za pravna 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Adresa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Telefon, fax i e-mail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Ime i prezime odgovorne osobe, funkcija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Ime i prezime kontakt osobe, funkcija, telefon, e-mail</w:t>
            </w:r>
          </w:p>
        </w:tc>
      </w:tr>
      <w:tr>
        <w:trPr>
          <w:trHeight w:val="2763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Obrazloženje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Ciljevi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Generalni  (opći) cilj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Posebni ciljevi</w:t>
            </w:r>
          </w:p>
        </w:tc>
      </w:tr>
      <w:tr>
        <w:trPr>
          <w:trHeight w:val="123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right="113" w:hanging="0"/>
              <w:jc w:val="center"/>
              <w:rPr/>
            </w:pPr>
            <w:r>
              <w:rPr/>
              <w:t>Područje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Mjesto realizacije programa/projekta/naučnog skupa, uža lokacija, općina, adresa</w:t>
            </w:r>
          </w:p>
        </w:tc>
      </w:tr>
      <w:tr>
        <w:trPr>
          <w:trHeight w:val="1414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4.1.6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Aktivnosti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right="113" w:hanging="0"/>
              <w:jc w:val="center"/>
              <w:rPr/>
            </w:pPr>
            <w:r>
              <w:rPr/>
              <w:t>Vremenski okvir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Predviđeni početak programa/projekta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Trajanje programa/projekta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Trajanje aktivnosti po mjesecima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604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caps/>
              </w:rPr>
              <w:t>p</w:t>
            </w:r>
            <w:r>
              <w:rPr/>
              <w:t>retpostavke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58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Rizici i fleksibilnost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Resursi potvrda za realizaciju programa/projekt</w:t>
            </w:r>
            <w:r>
              <w:rPr/>
              <w:t>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16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Budžet programa/projekta/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285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Ukupna vrijednost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Ukupna vrijednost u KM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Specifikaciju dati na posebnom obrazcu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87" w:hRule="atLeast"/>
          <w:cantSplit w:val="true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4.2.3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Finansijski plan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potrebna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iz Budžeta KS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Vlastita sredstva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Donacije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grantovi drugih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 programa EU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983" w:hRule="atLeast"/>
          <w:cantSplit w:val="true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RASHODI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96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Finansijska održivost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single"/>
              </w:rPr>
            </w:pPr>
            <w:r>
              <w:rPr>
                <w:strike w:val="false"/>
                <w:dstrike w:val="false"/>
                <w:color w:val="000000"/>
                <w:u w:val="single"/>
              </w:rPr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58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strike/>
                <w:color w:val="C9211E"/>
              </w:rPr>
            </w:pPr>
            <w:r>
              <w:rPr>
                <w:strike/>
                <w:color w:val="C9211E"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Monitoring i izvještaj o projektu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Dodatne informacije o projektu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Podnosioci prijava su obavezni dostaviti detaljnu i precizno razvrstanu specifikaciju troškova, sa jasno naznačenim pojedinačnim stavkama i iznosima 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Potpis podnosioca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M.P.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Prilozi  (potrebna dokumentacija):</w:t>
      </w:r>
      <w:bookmarkStart w:id="0" w:name="_GoBack"/>
      <w:bookmarkEnd w:id="0"/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pacing w:val="2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40" w:right="1440" w:gutter="0" w:header="567" w:top="1440" w:footer="510" w:bottom="144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4D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83"/>
      <w:gridCol w:w="5057"/>
      <w:gridCol w:w="1986"/>
    </w:tblGrid>
    <w:tr>
      <w:trPr/>
      <w:tc>
        <w:tcPr>
          <w:tcW w:w="1983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napToGrid w:val="false"/>
            <w:spacing w:before="60" w:after="0"/>
            <w:rPr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Western"/>
            <w:widowControl w:val="false"/>
            <w:spacing w:lineRule="auto" w:line="240" w:beforeAutospacing="0" w:before="0"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Web: http://mo.ks.gov.ba, E-mail: mo@mo.ks.gov.ba</w:t>
          </w:r>
        </w:p>
      </w:tc>
      <w:tc>
        <w:tcPr>
          <w:tcW w:w="198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spacing w:before="60" w:after="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PAGE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NUMPAGES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83"/>
      <w:gridCol w:w="5057"/>
      <w:gridCol w:w="1986"/>
    </w:tblGrid>
    <w:tr>
      <w:trPr/>
      <w:tc>
        <w:tcPr>
          <w:tcW w:w="1983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napToGrid w:val="false"/>
            <w:spacing w:before="60" w:after="0"/>
            <w:rPr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Western"/>
            <w:widowControl w:val="false"/>
            <w:spacing w:lineRule="auto" w:line="240" w:beforeAutospacing="0" w:before="0"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Web: http://mo.ks.gov.ba, E-mail: mo@mo.ks.gov.ba</w:t>
          </w:r>
        </w:p>
      </w:tc>
      <w:tc>
        <w:tcPr>
          <w:tcW w:w="198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spacing w:before="60" w:after="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PAGE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1</w:t>
          </w:r>
          <w:r>
            <w:rPr>
              <w:sz w:val="20"/>
              <w:b/>
              <w:szCs w:val="20"/>
              <w:bCs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NUMPAGES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15" w:type="dxa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4244"/>
      <w:gridCol w:w="1200"/>
      <w:gridCol w:w="4171"/>
    </w:tblGrid>
    <w:tr>
      <w:trPr/>
      <w:tc>
        <w:tcPr>
          <w:tcW w:w="4244" w:type="dxa"/>
          <w:tcBorders/>
          <w:shd w:color="auto" w:fill="auto" w:val="clear"/>
        </w:tcPr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>Bosna i Hercegovina</w:t>
          </w:r>
        </w:p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tcBorders/>
          <w:shd w:color="auto" w:fill="auto" w:val="clear"/>
        </w:tcPr>
        <w:p>
          <w:pPr>
            <w:pStyle w:val="Header"/>
            <w:widowControl w:val="false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628015" cy="802005"/>
                <wp:effectExtent l="0" t="0" r="0" b="0"/>
                <wp:docPr id="1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/>
          <w:shd w:color="auto" w:fill="auto" w:val="clear"/>
        </w:tcPr>
        <w:p>
          <w:pPr>
            <w:pStyle w:val="Header"/>
            <w:widowControl w:val="false"/>
            <w:rPr/>
          </w:pPr>
          <w:r>
            <w:rPr>
              <w:sz w:val="22"/>
              <w:szCs w:val="22"/>
            </w:rPr>
            <w:t>Босна и Херцеговина</w:t>
          </w:r>
        </w:p>
        <w:p>
          <w:pPr>
            <w:pStyle w:val="Header"/>
            <w:widowControl w:val="false"/>
            <w:rPr/>
          </w:pPr>
          <w:r>
            <w:rPr>
              <w:sz w:val="22"/>
              <w:szCs w:val="22"/>
            </w:rPr>
            <w:t>Федерација Босне и Херцеговине</w:t>
          </w:r>
        </w:p>
      </w:tc>
    </w:tr>
    <w:tr>
      <w:trPr>
        <w:trHeight w:val="636" w:hRule="atLeast"/>
      </w:trPr>
      <w:tc>
        <w:tcPr>
          <w:tcW w:w="4244" w:type="dxa"/>
          <w:tcBorders/>
          <w:shd w:color="auto" w:fill="auto" w:val="clear"/>
        </w:tcPr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 xml:space="preserve">                     </w:t>
          </w:r>
          <w:r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KANTON SARAJEVO</w:t>
          </w:r>
        </w:p>
        <w:p>
          <w:pPr>
            <w:pStyle w:val="Header"/>
            <w:widowControl w:val="false"/>
            <w:jc w:val="right"/>
            <w:rPr/>
          </w:pPr>
          <w:r>
            <w:rPr>
              <w:b/>
              <w:bCs/>
              <w:sz w:val="22"/>
              <w:szCs w:val="22"/>
            </w:rPr>
            <w:t xml:space="preserve">            </w:t>
          </w:r>
          <w:r>
            <w:rPr>
              <w:b/>
              <w:bCs/>
              <w:sz w:val="22"/>
              <w:szCs w:val="22"/>
            </w:rPr>
            <w:t>Ministarstvo zdravstva</w:t>
          </w:r>
        </w:p>
      </w:tc>
      <w:tc>
        <w:tcPr>
          <w:tcW w:w="1200" w:type="dxa"/>
          <w:vMerge w:val="continue"/>
          <w:tcBorders/>
          <w:shd w:color="auto" w:fill="auto" w:val="clear"/>
        </w:tcPr>
        <w:p>
          <w:pPr>
            <w:pStyle w:val="Normal"/>
            <w:widowControl w:val="false"/>
            <w:rPr/>
          </w:pPr>
          <w:r>
            <w:rPr/>
          </w:r>
        </w:p>
      </w:tc>
      <w:tc>
        <w:tcPr>
          <w:tcW w:w="4171" w:type="dxa"/>
          <w:tcBorders/>
          <w:shd w:color="auto" w:fill="auto" w:val="clear"/>
        </w:tcPr>
        <w:p>
          <w:pPr>
            <w:pStyle w:val="Header"/>
            <w:widowControl w:val="false"/>
            <w:spacing w:before="0" w:after="17"/>
            <w:rPr/>
          </w:pPr>
          <w:r>
            <w:rPr>
              <w:b/>
              <w:bCs/>
              <w:sz w:val="22"/>
              <w:szCs w:val="22"/>
            </w:rPr>
            <w:t>КАНТОН САРАЈЕВО</w:t>
          </w:r>
        </w:p>
        <w:p>
          <w:pPr>
            <w:pStyle w:val="NormalWeb"/>
            <w:widowControl w:val="false"/>
            <w:spacing w:lineRule="auto" w:line="240" w:beforeAutospacing="0" w:before="0" w:after="0"/>
            <w:rPr/>
          </w:pPr>
          <w:r>
            <w:rPr>
              <w:b/>
              <w:bCs/>
              <w:sz w:val="22"/>
              <w:szCs w:val="22"/>
            </w:rPr>
            <w:t>Министарство здравства</w:t>
          </w:r>
        </w:p>
        <w:p>
          <w:pPr>
            <w:pStyle w:val="Header"/>
            <w:widowControl w:val="false"/>
            <w:spacing w:before="0" w:after="17"/>
            <w:rPr/>
          </w:pPr>
          <w:r>
            <w:rPr/>
          </w:r>
        </w:p>
      </w:tc>
    </w:tr>
    <w:tr>
      <w:trPr>
        <w:trHeight w:val="636" w:hRule="atLeast"/>
      </w:trPr>
      <w:tc>
        <w:tcPr>
          <w:tcW w:w="9615" w:type="dxa"/>
          <w:gridSpan w:val="3"/>
          <w:tcBorders/>
          <w:shd w:color="auto" w:fill="auto" w:val="clear"/>
        </w:tcPr>
        <w:tbl>
          <w:tblPr>
            <w:tblW w:w="4825" w:type="dxa"/>
            <w:jc w:val="left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firstRow="0" w:noVBand="0" w:lastRow="0" w:firstColumn="0" w:lastColumn="0" w:noHBand="0" w:val="0000"/>
          </w:tblPr>
          <w:tblGrid>
            <w:gridCol w:w="4825"/>
          </w:tblGrid>
          <w:tr>
            <w:trPr/>
            <w:tc>
              <w:tcPr>
                <w:tcW w:w="4825" w:type="dxa"/>
                <w:tcBorders/>
                <w:shd w:color="auto" w:fill="auto" w:val="clear"/>
              </w:tcPr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Bosnia and Herzegovina</w:t>
                </w:r>
              </w:p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>
            <w:trPr/>
            <w:tc>
              <w:tcPr>
                <w:tcW w:w="4825" w:type="dxa"/>
                <w:tcBorders/>
                <w:shd w:color="auto" w:fill="auto" w:val="clear"/>
              </w:tcPr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>
                <w:pPr>
                  <w:pStyle w:val="NormalWeb"/>
                  <w:widowControl w:val="false"/>
                  <w:spacing w:lineRule="auto" w:line="240" w:beforeAutospacing="0" w:before="0"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for Health</w:t>
                </w:r>
              </w:p>
              <w:p>
                <w:pPr>
                  <w:pStyle w:val="Header"/>
                  <w:widowControl w:val="false"/>
                  <w:snapToGrid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</w:r>
              </w:p>
            </w:tc>
          </w:tr>
        </w:tbl>
        <w:p>
          <w:pPr>
            <w:pStyle w:val="Header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bs-BA" w:eastAsia="bs-B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07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7052e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130d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c6216"/>
    <w:rPr>
      <w:b/>
      <w:bCs/>
    </w:rPr>
  </w:style>
  <w:style w:type="character" w:styleId="Emphasis">
    <w:name w:val="Emphasis"/>
    <w:basedOn w:val="DefaultParagraphFont"/>
    <w:uiPriority w:val="20"/>
    <w:qFormat/>
    <w:rsid w:val="001c26e5"/>
    <w:rPr>
      <w:i/>
      <w:iCs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Times New Roman" w:hAnsi="Times New Roman" w:eastAsia="Times New Roman" w:cs="Times New Roman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Times New Roman" w:hAnsi="Times New Roman" w:eastAsia="Times New Roman" w:cs="Times New Roman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0z0">
    <w:name w:val="WW8Num10z0"/>
    <w:qFormat/>
    <w:rPr>
      <w:b w:val="false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DefaultParagraphFont1">
    <w:name w:val="WW-Default Paragraph Font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DefaultParagraphFont">
    <w:name w:val="WW-Default Paragraph Font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sz w:val="24"/>
      <w:szCs w:val="24"/>
      <w:lang w:val="bs-BA" w:eastAsia="en-GB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7z1">
    <w:name w:val="WW8Num7z1"/>
    <w:qFormat/>
    <w:rPr>
      <w:rFonts w:ascii="OpenSymbol" w:hAnsi="OpenSymbol" w:cs="OpenSymbol"/>
    </w:rPr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color w:val="auto"/>
      <w:sz w:val="24"/>
      <w:szCs w:val="24"/>
      <w:lang w:val="bs-BA" w:eastAsia="en-GB"/>
    </w:rPr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color w:val="000000"/>
      <w:sz w:val="24"/>
      <w:szCs w:val="24"/>
      <w:u w:val="none"/>
      <w:lang w:val="bs-BA" w:eastAsia="en-GB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color w:val="auto"/>
      <w:sz w:val="24"/>
      <w:szCs w:val="24"/>
      <w:lang w:val="bs-BA" w:eastAsia="en-GB"/>
    </w:rPr>
  </w:style>
  <w:style w:type="character" w:styleId="WW8Num2z0">
    <w:name w:val="WW8Num2z0"/>
    <w:qFormat/>
    <w:rPr>
      <w:rFonts w:ascii="Symbol" w:hAnsi="Symbol" w:cs="Symbol"/>
      <w:color w:val="000000"/>
      <w:sz w:val="24"/>
      <w:szCs w:val="24"/>
    </w:rPr>
  </w:style>
  <w:style w:type="character" w:styleId="Heading3Char">
    <w:name w:val="Heading 3 Char"/>
    <w:qFormat/>
    <w:rPr>
      <w:rFonts w:ascii="Arial" w:hAnsi="Arial" w:cs="Arial"/>
      <w:b/>
      <w:bCs/>
      <w:sz w:val="26"/>
      <w:szCs w:val="26"/>
      <w:lang w:eastAsia="zh-CN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052e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05450"/>
    <w:pPr>
      <w:suppressAutoHyphens w:val="false"/>
      <w:spacing w:lineRule="auto" w:line="288" w:beforeAutospacing="1" w:after="142"/>
    </w:pPr>
    <w:rPr>
      <w:lang w:eastAsia="bs-BA"/>
    </w:rPr>
  </w:style>
  <w:style w:type="paragraph" w:styleId="Western" w:customStyle="1">
    <w:name w:val="western"/>
    <w:basedOn w:val="Normal"/>
    <w:uiPriority w:val="99"/>
    <w:qFormat/>
    <w:rsid w:val="00b05450"/>
    <w:pPr>
      <w:suppressAutoHyphens w:val="false"/>
      <w:spacing w:lineRule="auto" w:line="288" w:beforeAutospacing="1" w:after="142"/>
    </w:pPr>
    <w:rPr>
      <w:sz w:val="22"/>
      <w:szCs w:val="22"/>
      <w:lang w:eastAsia="bs-BA"/>
    </w:rPr>
  </w:style>
  <w:style w:type="paragraph" w:styleId="ListParagraph">
    <w:name w:val="List Paragraph"/>
    <w:basedOn w:val="Normal"/>
    <w:uiPriority w:val="34"/>
    <w:qFormat/>
    <w:rsid w:val="00210d15"/>
    <w:pPr>
      <w:spacing w:before="0" w:after="0"/>
      <w:ind w:left="720" w:hanging="0"/>
      <w:contextualSpacing/>
    </w:pPr>
    <w:rPr>
      <w:szCs w:val="21"/>
    </w:rPr>
  </w:style>
  <w:style w:type="paragraph" w:styleId="NoSpacing">
    <w:name w:val="No Spacing"/>
    <w:uiPriority w:val="1"/>
    <w:qFormat/>
    <w:rsid w:val="00b66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zh-CN" w:bidi="ar-SA"/>
    </w:rPr>
  </w:style>
  <w:style w:type="paragraph" w:styleId="ListContinue2">
    <w:name w:val="List Continue 2"/>
    <w:basedOn w:val="Normal"/>
    <w:qFormat/>
    <w:pPr>
      <w:spacing w:before="0" w:after="120"/>
      <w:ind w:left="720" w:hanging="0"/>
    </w:pPr>
    <w:rPr/>
  </w:style>
  <w:style w:type="paragraph" w:styleId="WWListBullet2">
    <w:name w:val="WW-List Bullet 2"/>
    <w:basedOn w:val="Normal"/>
    <w:qFormat/>
    <w:pPr>
      <w:ind w:left="720" w:hanging="360"/>
    </w:pPr>
    <w:rPr/>
  </w:style>
  <w:style w:type="paragraph" w:styleId="ListBullet">
    <w:name w:val="List Bullet"/>
    <w:basedOn w:val="Normal"/>
    <w:qFormat/>
    <w:pPr>
      <w:ind w:left="360" w:hanging="360"/>
    </w:pPr>
    <w:rPr/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ListBullet2">
    <w:name w:val="List Bullet 2"/>
    <w:basedOn w:val="Normal"/>
    <w:qFormat/>
    <w:pPr>
      <w:ind w:left="720" w:hanging="360"/>
    </w:pPr>
    <w:rPr/>
  </w:style>
  <w:style w:type="paragraph" w:styleId="DocumentMap">
    <w:name w:val="Document Map"/>
    <w:basedOn w:val="Normal"/>
    <w:qFormat/>
    <w:pPr>
      <w:shd w:fill="000080"/>
    </w:pPr>
    <w:rPr>
      <w:rFonts w:ascii="Tahoma" w:hAnsi="Tahoma" w:cs="Tahoma"/>
    </w:rPr>
  </w:style>
  <w:style w:type="paragraph" w:styleId="BodyText2">
    <w:name w:val="Body Text 2"/>
    <w:basedOn w:val="Normal"/>
    <w:qFormat/>
    <w:pPr>
      <w:suppressAutoHyphens w:val="false"/>
      <w:spacing w:lineRule="auto" w:line="480" w:before="0" w:after="120"/>
    </w:pPr>
    <w:rPr>
      <w:rFonts w:ascii="4D Gothic" w:hAnsi="4D Gothic" w:cs="4D Gothic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307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MINISTARSTVA_MO_2022_v3</Template>
  <TotalTime>24</TotalTime>
  <Application>LibreOffice/7.2.7.2$Windows_X86_64 LibreOffice_project/8d71d29d553c0f7dcbfa38fbfda25ee34cce99a2</Application>
  <AppVersion>15.0000</AppVersion>
  <Pages>5</Pages>
  <Words>283</Words>
  <Characters>1967</Characters>
  <CharactersWithSpaces>2352</CharactersWithSpaces>
  <Paragraphs>89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Trešnjo</dc:creator>
  <dc:description/>
  <dc:language>en-GB</dc:language>
  <cp:lastModifiedBy/>
  <dcterms:modified xsi:type="dcterms:W3CDTF">2026-04-15T09:47:04Z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