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caps/>
        </w:rPr>
        <w:t>O</w:t>
      </w:r>
      <w:r>
        <w:rPr>
          <w:b/>
        </w:rPr>
        <w:t xml:space="preserve">brazac prijave </w:t>
      </w:r>
      <w:r>
        <w:rPr>
          <w:b/>
        </w:rPr>
        <w:t xml:space="preserve">za </w:t>
      </w:r>
      <w:r>
        <w:rPr>
          <w:b/>
          <w:bCs/>
          <w:color w:val="000000"/>
        </w:rPr>
        <w:t xml:space="preserve">Javni poziv </w:t>
      </w:r>
    </w:p>
    <w:p>
      <w:pPr>
        <w:pStyle w:val="Normal"/>
        <w:jc w:val="center"/>
        <w:rPr/>
      </w:pPr>
      <w:r>
        <w:rPr>
          <w:b/>
          <w:bCs/>
          <w:color w:val="000000"/>
        </w:rPr>
        <w:t>za sufinansiranje organiziranja naučnih skupova i edukacija iz oblasti zdravstva u 2026. godini</w:t>
      </w:r>
      <w:r>
        <w:rPr>
          <w:b/>
        </w:rPr>
        <w:t xml:space="preserve"> sa popisom priloga dostavljene dokumentacije </w:t>
      </w:r>
    </w:p>
    <w:p>
      <w:pPr>
        <w:pStyle w:val="Normal"/>
        <w:jc w:val="center"/>
        <w:rPr/>
      </w:pPr>
      <w:r>
        <w:rPr>
          <w:b/>
        </w:rPr>
        <w:t>( za neprofitne organizacije)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W w:w="10518" w:type="dxa"/>
        <w:jc w:val="left"/>
        <w:tblInd w:w="-354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11"/>
        <w:gridCol w:w="1418"/>
        <w:gridCol w:w="3017"/>
        <w:gridCol w:w="1081"/>
        <w:gridCol w:w="1080"/>
        <w:gridCol w:w="1086"/>
        <w:gridCol w:w="1229"/>
        <w:gridCol w:w="894"/>
      </w:tblGrid>
      <w:tr>
        <w:trPr>
          <w:trHeight w:val="1133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4.1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 xml:space="preserve">Naziv programa/projekta 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Puni naziv programa/projekta/</w:t>
            </w:r>
            <w:r>
              <w:rPr/>
              <w:t>naučnog skupa</w:t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452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4.1.2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Podnosioc prijave programa/projekta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Naziv podnosioca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Organizacioni oblik podnosioca-Identifikacioni broj/za pravna lica, fizičko lice i sl.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Naziv i adresa banke u kojoj je račun otvoren, broj transakcijskog računa/za pravna lica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Adresa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Telefon, fax i e-mail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Ime i prezime odgovorne osobe, funkcija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Ime i prezime kontakt osobe, funkcija, telefon, e-mail</w:t>
            </w:r>
          </w:p>
        </w:tc>
      </w:tr>
      <w:tr>
        <w:trPr>
          <w:trHeight w:val="2763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Obrazloženje programa/projekta/</w:t>
            </w:r>
            <w:r>
              <w:rPr/>
              <w:t>naučnog skupa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</w:tc>
      </w:tr>
      <w:tr>
        <w:trPr>
          <w:trHeight w:val="112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Ciljevi programa/projekta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Generalni  (opći) cilj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Posebni ciljevi</w:t>
            </w:r>
          </w:p>
        </w:tc>
      </w:tr>
      <w:tr>
        <w:trPr>
          <w:trHeight w:val="1237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right="113" w:hanging="0"/>
              <w:jc w:val="center"/>
              <w:rPr/>
            </w:pPr>
            <w:r>
              <w:rPr/>
              <w:t xml:space="preserve">Područje programa/projekta 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Mjesto realizacije programa/projekta/</w:t>
            </w:r>
            <w:r>
              <w:rPr/>
              <w:t>naučnog skupa</w:t>
            </w:r>
            <w:r>
              <w:rPr/>
              <w:t>, uža lokacija, općina, adresa</w:t>
            </w:r>
          </w:p>
        </w:tc>
      </w:tr>
      <w:tr>
        <w:trPr>
          <w:trHeight w:val="1414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>4.1.6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Aktivnosti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</w:tc>
      </w:tr>
      <w:tr>
        <w:trPr>
          <w:trHeight w:val="112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ind w:right="113" w:hanging="0"/>
              <w:jc w:val="center"/>
              <w:rPr/>
            </w:pPr>
            <w:r>
              <w:rPr/>
              <w:t>Vremenski okvir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Predviđeni početak programa/projekta/</w:t>
            </w:r>
            <w:r>
              <w:rPr/>
              <w:t>naučnog skupa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Trajanje programa/projekta/</w:t>
            </w:r>
            <w:r>
              <w:rPr/>
              <w:t>naučnog skupa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Trajanje aktivnosti po mjesecima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1604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caps/>
              </w:rPr>
            </w:pPr>
            <w:r>
              <w:rPr>
                <w:caps/>
              </w:rPr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>
                <w:caps/>
              </w:rPr>
              <w:t>p</w:t>
            </w:r>
            <w:r>
              <w:rPr/>
              <w:t>retpostavke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</w:r>
          </w:p>
        </w:tc>
      </w:tr>
      <w:tr>
        <w:trPr>
          <w:trHeight w:val="1587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4.1.8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Rizici i fleksibilnost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</w:tc>
      </w:tr>
      <w:tr>
        <w:trPr>
          <w:trHeight w:val="112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Resursi potvrda za realizaciju programa/projekta/</w:t>
            </w:r>
            <w:r>
              <w:rPr/>
              <w:t>naučnog skupa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016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4.2.2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Budžet programa/projekta/</w:t>
            </w:r>
            <w:r>
              <w:rPr/>
              <w:t>naučnog skupa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</w:tc>
      </w:tr>
      <w:tr>
        <w:trPr>
          <w:trHeight w:val="285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Ukupna vrijednost programa/projekta/</w:t>
            </w:r>
            <w:r>
              <w:rPr/>
              <w:t>naučnog skupa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Ukupna vrijednost u KM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Specifikaciju dati na posebnom obrazcu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687" w:hRule="atLeast"/>
          <w:cantSplit w:val="true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>4.2.3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Finansijski plan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OPIS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Ukupno 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sredstva potrebna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Sredstva iz Budžeta KS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Vlastita sredstva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Donacije 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grantovi drugih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 programa EU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983" w:hRule="atLeast"/>
          <w:cantSplit w:val="true"/>
        </w:trPr>
        <w:tc>
          <w:tcPr>
            <w:tcW w:w="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/>
                <w:lang w:val="bs-BA"/>
              </w:rPr>
            </w:pPr>
            <w:r>
              <w:rPr>
                <w:b/>
                <w:lang w:val="bs-BA"/>
              </w:rPr>
              <w:t>RASHODI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96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strike w:val="false"/>
                <w:dstrike w:val="false"/>
                <w:color w:val="000000"/>
                <w:u w:val="none"/>
              </w:rPr>
            </w:pPr>
            <w:r>
              <w:rPr>
                <w:strike w:val="false"/>
                <w:dstrike w:val="false"/>
                <w:color w:val="000000"/>
                <w:u w:val="none"/>
              </w:rPr>
              <w:t>Finansijska održivost</w:t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strike w:val="false"/>
                <w:dstrike w:val="false"/>
                <w:color w:val="000000"/>
                <w:u w:val="single"/>
              </w:rPr>
            </w:pPr>
            <w:r>
              <w:rPr>
                <w:strike w:val="false"/>
                <w:dstrike w:val="false"/>
                <w:color w:val="000000"/>
                <w:u w:val="single"/>
              </w:rPr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lang w:val="bs-BA"/>
              </w:rPr>
            </w:pPr>
            <w:r>
              <w:rPr>
                <w:lang w:val="bs-BA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587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4.2.4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snapToGrid w:val="false"/>
              <w:ind w:left="113" w:right="113" w:hanging="0"/>
              <w:jc w:val="center"/>
              <w:rPr>
                <w:strike/>
                <w:color w:val="C9211E"/>
              </w:rPr>
            </w:pPr>
            <w:r>
              <w:rPr>
                <w:strike/>
                <w:color w:val="C9211E"/>
              </w:rPr>
            </w:r>
          </w:p>
          <w:p>
            <w:pPr>
              <w:pStyle w:val="Normal"/>
              <w:widowControl w:val="false"/>
              <w:ind w:left="113" w:right="113" w:hanging="0"/>
              <w:jc w:val="center"/>
              <w:rPr>
                <w:strike w:val="false"/>
                <w:dstrike w:val="false"/>
                <w:color w:val="000000"/>
              </w:rPr>
            </w:pPr>
            <w:r>
              <w:rPr>
                <w:strike w:val="false"/>
                <w:dstrike w:val="false"/>
                <w:color w:val="000000"/>
              </w:rPr>
              <w:t>Monitoring i izvještaj o projektu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25" w:hRule="atLeast"/>
          <w:cantSplit w:val="true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4.3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/>
            </w:pPr>
            <w:r>
              <w:rPr/>
              <w:t>Dodatne informacije o projektu/</w:t>
            </w:r>
            <w:r>
              <w:rPr/>
              <w:t>naučnom skupu</w:t>
            </w:r>
          </w:p>
        </w:tc>
        <w:tc>
          <w:tcPr>
            <w:tcW w:w="83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tabs>
                <w:tab w:val="clear" w:pos="709"/>
                <w:tab w:val="left" w:pos="8335" w:leader="dot"/>
              </w:tabs>
              <w:rPr/>
            </w:pPr>
            <w:r>
              <w:rPr/>
              <w:tab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Podnosioci prijava su obavezni dostaviti detaljnu i precizno razvrstanu specifikaciju troškova, sa jasno naznačenim pojedinačnim stavkama i iznosima 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/>
      </w:pPr>
      <w:r>
        <w:rPr/>
        <w:t xml:space="preserve">Potpis podnosioca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M.P.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Prilozi  (potrebna dokumentacija):</w:t>
      </w:r>
      <w:bookmarkStart w:id="0" w:name="_GoBack"/>
      <w:bookmarkEnd w:id="0"/>
    </w:p>
    <w:p>
      <w:pPr>
        <w:pStyle w:val="Normal"/>
        <w:jc w:val="both"/>
        <w:rPr/>
      </w:pPr>
      <w:r>
        <w:rPr/>
        <w:t>-</w:t>
      </w:r>
    </w:p>
    <w:p>
      <w:pPr>
        <w:pStyle w:val="Normal"/>
        <w:jc w:val="both"/>
        <w:rPr/>
      </w:pPr>
      <w:r>
        <w:rPr/>
        <w:t>-</w:t>
      </w:r>
    </w:p>
    <w:p>
      <w:pPr>
        <w:pStyle w:val="Normal"/>
        <w:jc w:val="both"/>
        <w:rPr/>
      </w:pPr>
      <w:r>
        <w:rPr/>
        <w:t>-</w:t>
      </w:r>
    </w:p>
    <w:p>
      <w:pPr>
        <w:pStyle w:val="Normal"/>
        <w:jc w:val="both"/>
        <w:rPr/>
      </w:pPr>
      <w:r>
        <w:rPr/>
        <w:t>-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pacing w:val="2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1440" w:right="1440" w:gutter="0" w:header="567" w:top="1440" w:footer="510" w:bottom="144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22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983"/>
      <w:gridCol w:w="5057"/>
      <w:gridCol w:w="1986"/>
    </w:tblGrid>
    <w:tr>
      <w:trPr/>
      <w:tc>
        <w:tcPr>
          <w:tcW w:w="1983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snapToGrid w:val="false"/>
            <w:spacing w:before="60" w:after="0"/>
            <w:rPr>
              <w:color w:val="000000"/>
              <w:sz w:val="20"/>
              <w:szCs w:val="20"/>
            </w:rPr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2" name="Picture 2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7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Western"/>
            <w:widowControl w:val="false"/>
            <w:spacing w:lineRule="auto" w:line="240" w:beforeAutospacing="0" w:before="0" w:after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>
          <w:pPr>
            <w:pStyle w:val="Western"/>
            <w:widowControl w:val="false"/>
            <w:spacing w:lineRule="auto" w:line="240" w:beforeAutospacing="0" w:before="0" w:after="0"/>
            <w:jc w:val="center"/>
            <w:rPr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>
          <w:pPr>
            <w:pStyle w:val="Western"/>
            <w:widowControl w:val="false"/>
            <w:spacing w:lineRule="auto" w:line="240" w:beforeAutospacing="0" w:before="0" w:after="0"/>
            <w:jc w:val="center"/>
            <w:rPr/>
          </w:pPr>
          <w:r>
            <w:rPr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1986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spacing w:before="60" w:after="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sz w:val="20"/>
              <w:b/>
              <w:szCs w:val="20"/>
              <w:bCs/>
            </w:rPr>
            <w:instrText> PAGE </w:instrText>
          </w:r>
          <w:r>
            <w:rPr>
              <w:sz w:val="20"/>
              <w:b/>
              <w:szCs w:val="20"/>
              <w:bCs/>
            </w:rPr>
            <w:fldChar w:fldCharType="separate"/>
          </w:r>
          <w:r>
            <w:rPr>
              <w:sz w:val="20"/>
              <w:b/>
              <w:szCs w:val="20"/>
              <w:bCs/>
            </w:rPr>
            <w:t>5</w:t>
          </w:r>
          <w:r>
            <w:rPr>
              <w:sz w:val="20"/>
              <w:b/>
              <w:szCs w:val="20"/>
              <w:bCs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sz w:val="20"/>
              <w:b/>
              <w:szCs w:val="20"/>
              <w:bCs/>
            </w:rPr>
            <w:instrText> NUMPAGES </w:instrText>
          </w:r>
          <w:r>
            <w:rPr>
              <w:sz w:val="20"/>
              <w:b/>
              <w:szCs w:val="20"/>
              <w:bCs/>
            </w:rPr>
            <w:fldChar w:fldCharType="separate"/>
          </w:r>
          <w:r>
            <w:rPr>
              <w:sz w:val="20"/>
              <w:b/>
              <w:szCs w:val="20"/>
              <w:bCs/>
            </w:rPr>
            <w:t>5</w:t>
          </w:r>
          <w:r>
            <w:rPr>
              <w:sz w:val="20"/>
              <w:b/>
              <w:szCs w:val="20"/>
              <w:bCs/>
            </w:rPr>
            <w:fldChar w:fldCharType="end"/>
          </w:r>
        </w:p>
      </w:tc>
    </w:tr>
  </w:tbl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5000" w:type="pct"/>
      <w:jc w:val="left"/>
      <w:tblInd w:w="22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1983"/>
      <w:gridCol w:w="5057"/>
      <w:gridCol w:w="1986"/>
    </w:tblGrid>
    <w:tr>
      <w:trPr/>
      <w:tc>
        <w:tcPr>
          <w:tcW w:w="1983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Normal"/>
            <w:widowControl w:val="false"/>
            <w:snapToGrid w:val="false"/>
            <w:spacing w:before="60" w:after="0"/>
            <w:rPr>
              <w:color w:val="000000"/>
              <w:sz w:val="20"/>
              <w:szCs w:val="20"/>
            </w:rPr>
          </w:pPr>
          <w:r>
            <w:rPr/>
            <w:drawing>
              <wp:inline distT="0" distB="0" distL="0" distR="0">
                <wp:extent cx="1242060" cy="647700"/>
                <wp:effectExtent l="0" t="0" r="0" b="0"/>
                <wp:docPr id="3" name="Picture 6" descr="Text, 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6" descr="Text, 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206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7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Western"/>
            <w:widowControl w:val="false"/>
            <w:spacing w:lineRule="auto" w:line="240" w:beforeAutospacing="0" w:before="0" w:after="0"/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Adresa: Reisa Džemaludina Čauševića 1, 71 000 Sarajevo</w:t>
          </w:r>
        </w:p>
        <w:p>
          <w:pPr>
            <w:pStyle w:val="Western"/>
            <w:widowControl w:val="false"/>
            <w:spacing w:lineRule="auto" w:line="240" w:beforeAutospacing="0" w:before="0" w:after="0"/>
            <w:jc w:val="center"/>
            <w:rPr/>
          </w:pPr>
          <w:r>
            <w:rPr>
              <w:color w:val="000000"/>
              <w:sz w:val="20"/>
              <w:szCs w:val="20"/>
            </w:rPr>
            <w:t>Tel: + 387 (0) 33 562-128</w:t>
          </w:r>
        </w:p>
        <w:p>
          <w:pPr>
            <w:pStyle w:val="Western"/>
            <w:widowControl w:val="false"/>
            <w:spacing w:lineRule="auto" w:line="240" w:beforeAutospacing="0" w:before="0" w:after="0"/>
            <w:jc w:val="center"/>
            <w:rPr/>
          </w:pPr>
          <w:r>
            <w:rPr>
              <w:color w:val="000000"/>
              <w:sz w:val="20"/>
              <w:szCs w:val="20"/>
            </w:rPr>
            <w:t xml:space="preserve">Web: http://mo.ks.gov.ba, E-mail: mo@mo.ks.gov.ba </w:t>
          </w:r>
        </w:p>
      </w:tc>
      <w:tc>
        <w:tcPr>
          <w:tcW w:w="1986" w:type="dxa"/>
          <w:tcBorders>
            <w:top w:val="single" w:sz="4" w:space="0" w:color="000000"/>
          </w:tcBorders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spacing w:before="60" w:after="0"/>
            <w:jc w:val="right"/>
            <w:rPr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sz w:val="20"/>
              <w:b/>
              <w:szCs w:val="20"/>
              <w:bCs/>
            </w:rPr>
            <w:instrText> PAGE </w:instrText>
          </w:r>
          <w:r>
            <w:rPr>
              <w:sz w:val="20"/>
              <w:b/>
              <w:szCs w:val="20"/>
              <w:bCs/>
            </w:rPr>
            <w:fldChar w:fldCharType="separate"/>
          </w:r>
          <w:r>
            <w:rPr>
              <w:sz w:val="20"/>
              <w:b/>
              <w:szCs w:val="20"/>
              <w:bCs/>
            </w:rPr>
            <w:t>1</w:t>
          </w:r>
          <w:r>
            <w:rPr>
              <w:sz w:val="20"/>
              <w:b/>
              <w:szCs w:val="20"/>
              <w:bCs/>
            </w:rPr>
            <w:fldChar w:fldCharType="end"/>
          </w:r>
          <w:r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fldChar w:fldCharType="begin"/>
          </w:r>
          <w:r>
            <w:rPr>
              <w:sz w:val="20"/>
              <w:b/>
              <w:szCs w:val="20"/>
              <w:bCs/>
            </w:rPr>
            <w:instrText> NUMPAGES </w:instrText>
          </w:r>
          <w:r>
            <w:rPr>
              <w:sz w:val="20"/>
              <w:b/>
              <w:szCs w:val="20"/>
              <w:bCs/>
            </w:rPr>
            <w:fldChar w:fldCharType="separate"/>
          </w:r>
          <w:r>
            <w:rPr>
              <w:sz w:val="20"/>
              <w:b/>
              <w:szCs w:val="20"/>
              <w:bCs/>
            </w:rPr>
            <w:t>5</w:t>
          </w:r>
          <w:r>
            <w:rPr>
              <w:sz w:val="20"/>
              <w:b/>
              <w:szCs w:val="20"/>
              <w:bCs/>
            </w:rPr>
            <w:fldChar w:fldCharType="end"/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15" w:type="dxa"/>
      <w:jc w:val="left"/>
      <w:tblInd w:w="222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4244"/>
      <w:gridCol w:w="1200"/>
      <w:gridCol w:w="4171"/>
    </w:tblGrid>
    <w:tr>
      <w:trPr/>
      <w:tc>
        <w:tcPr>
          <w:tcW w:w="4244" w:type="dxa"/>
          <w:tcBorders/>
          <w:shd w:color="auto" w:fill="auto" w:val="clear"/>
        </w:tcPr>
        <w:p>
          <w:pPr>
            <w:pStyle w:val="Header"/>
            <w:widowControl w:val="false"/>
            <w:jc w:val="right"/>
            <w:rPr/>
          </w:pPr>
          <w:r>
            <w:rPr>
              <w:sz w:val="22"/>
              <w:szCs w:val="22"/>
            </w:rPr>
            <w:t>Bosna i Hercegovina</w:t>
          </w:r>
        </w:p>
        <w:p>
          <w:pPr>
            <w:pStyle w:val="Header"/>
            <w:widowControl w:val="false"/>
            <w:jc w:val="right"/>
            <w:rPr/>
          </w:pPr>
          <w:r>
            <w:rPr>
              <w:sz w:val="22"/>
              <w:szCs w:val="22"/>
            </w:rPr>
            <w:t>Federacija Bosne i Hercegovine</w:t>
          </w:r>
        </w:p>
      </w:tc>
      <w:tc>
        <w:tcPr>
          <w:tcW w:w="1200" w:type="dxa"/>
          <w:vMerge w:val="restart"/>
          <w:tcBorders/>
          <w:shd w:color="auto" w:fill="auto" w:val="clear"/>
        </w:tcPr>
        <w:p>
          <w:pPr>
            <w:pStyle w:val="Header"/>
            <w:widowControl w:val="false"/>
            <w:rPr>
              <w:sz w:val="22"/>
              <w:szCs w:val="22"/>
            </w:rPr>
          </w:pPr>
          <w:r>
            <w:rPr/>
            <w:drawing>
              <wp:inline distT="0" distB="0" distL="0" distR="0">
                <wp:extent cx="628015" cy="802005"/>
                <wp:effectExtent l="0" t="0" r="0" b="0"/>
                <wp:docPr id="1" name="Picture 5" descr="C:\Users\ezudin.kurtovic\Box\path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C:\Users\ezudin.kurtovic\Box\path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802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1" w:type="dxa"/>
          <w:tcBorders/>
          <w:shd w:color="auto" w:fill="auto" w:val="clear"/>
        </w:tcPr>
        <w:p>
          <w:pPr>
            <w:pStyle w:val="Header"/>
            <w:widowControl w:val="false"/>
            <w:rPr/>
          </w:pPr>
          <w:r>
            <w:rPr>
              <w:sz w:val="22"/>
              <w:szCs w:val="22"/>
            </w:rPr>
            <w:t>Босна и Херцеговина</w:t>
          </w:r>
        </w:p>
        <w:p>
          <w:pPr>
            <w:pStyle w:val="Header"/>
            <w:widowControl w:val="false"/>
            <w:rPr/>
          </w:pPr>
          <w:r>
            <w:rPr>
              <w:sz w:val="22"/>
              <w:szCs w:val="22"/>
            </w:rPr>
            <w:t>Федерација Босне и Херцеговине</w:t>
          </w:r>
        </w:p>
      </w:tc>
    </w:tr>
    <w:tr>
      <w:trPr>
        <w:trHeight w:val="636" w:hRule="atLeast"/>
      </w:trPr>
      <w:tc>
        <w:tcPr>
          <w:tcW w:w="4244" w:type="dxa"/>
          <w:tcBorders/>
          <w:shd w:color="auto" w:fill="auto" w:val="clear"/>
        </w:tcPr>
        <w:p>
          <w:pPr>
            <w:pStyle w:val="Header"/>
            <w:widowControl w:val="false"/>
            <w:jc w:val="right"/>
            <w:rPr/>
          </w:pPr>
          <w:r>
            <w:rPr>
              <w:sz w:val="22"/>
              <w:szCs w:val="22"/>
            </w:rPr>
            <w:t xml:space="preserve">                     </w:t>
          </w:r>
          <w:r>
            <w:rPr>
              <w:b/>
              <w:bCs/>
              <w:sz w:val="22"/>
              <w:szCs w:val="22"/>
            </w:rPr>
            <w:t xml:space="preserve"> </w:t>
          </w:r>
          <w:r>
            <w:rPr>
              <w:b/>
              <w:bCs/>
              <w:sz w:val="22"/>
              <w:szCs w:val="22"/>
            </w:rPr>
            <w:t>KANTON SARAJEVO</w:t>
          </w:r>
        </w:p>
        <w:p>
          <w:pPr>
            <w:pStyle w:val="Header"/>
            <w:widowControl w:val="false"/>
            <w:jc w:val="right"/>
            <w:rPr/>
          </w:pPr>
          <w:r>
            <w:rPr>
              <w:b/>
              <w:bCs/>
              <w:sz w:val="22"/>
              <w:szCs w:val="22"/>
            </w:rPr>
            <w:t xml:space="preserve">            </w:t>
          </w:r>
          <w:r>
            <w:rPr>
              <w:b/>
              <w:bCs/>
              <w:sz w:val="22"/>
              <w:szCs w:val="22"/>
            </w:rPr>
            <w:t>Ministarstvo zdravstva</w:t>
          </w:r>
        </w:p>
      </w:tc>
      <w:tc>
        <w:tcPr>
          <w:tcW w:w="1200" w:type="dxa"/>
          <w:vMerge w:val="continue"/>
          <w:tcBorders/>
          <w:shd w:color="auto" w:fill="auto" w:val="clear"/>
        </w:tcPr>
        <w:p>
          <w:pPr>
            <w:pStyle w:val="Normal"/>
            <w:widowControl w:val="false"/>
            <w:rPr/>
          </w:pPr>
          <w:r>
            <w:rPr/>
          </w:r>
        </w:p>
      </w:tc>
      <w:tc>
        <w:tcPr>
          <w:tcW w:w="4171" w:type="dxa"/>
          <w:tcBorders/>
          <w:shd w:color="auto" w:fill="auto" w:val="clear"/>
        </w:tcPr>
        <w:p>
          <w:pPr>
            <w:pStyle w:val="Header"/>
            <w:widowControl w:val="false"/>
            <w:spacing w:before="0" w:after="17"/>
            <w:rPr/>
          </w:pPr>
          <w:r>
            <w:rPr>
              <w:b/>
              <w:bCs/>
              <w:sz w:val="22"/>
              <w:szCs w:val="22"/>
            </w:rPr>
            <w:t>КАНТОН САРАЈЕВО</w:t>
          </w:r>
        </w:p>
        <w:p>
          <w:pPr>
            <w:pStyle w:val="NormalWeb"/>
            <w:widowControl w:val="false"/>
            <w:spacing w:lineRule="auto" w:line="240" w:beforeAutospacing="0" w:before="0" w:after="0"/>
            <w:rPr/>
          </w:pPr>
          <w:r>
            <w:rPr>
              <w:b/>
              <w:bCs/>
              <w:sz w:val="22"/>
              <w:szCs w:val="22"/>
            </w:rPr>
            <w:t>Министарство здравства</w:t>
          </w:r>
        </w:p>
        <w:p>
          <w:pPr>
            <w:pStyle w:val="Header"/>
            <w:widowControl w:val="false"/>
            <w:spacing w:before="0" w:after="17"/>
            <w:rPr/>
          </w:pPr>
          <w:r>
            <w:rPr/>
          </w:r>
        </w:p>
      </w:tc>
    </w:tr>
    <w:tr>
      <w:trPr>
        <w:trHeight w:val="636" w:hRule="atLeast"/>
      </w:trPr>
      <w:tc>
        <w:tcPr>
          <w:tcW w:w="9615" w:type="dxa"/>
          <w:gridSpan w:val="3"/>
          <w:tcBorders/>
          <w:shd w:color="auto" w:fill="auto" w:val="clear"/>
        </w:tcPr>
        <w:tbl>
          <w:tblPr>
            <w:tblW w:w="4825" w:type="dxa"/>
            <w:jc w:val="left"/>
            <w:tblInd w:w="2265" w:type="dxa"/>
            <w:tblLayout w:type="fixed"/>
            <w:tblCellMar>
              <w:top w:w="55" w:type="dxa"/>
              <w:left w:w="55" w:type="dxa"/>
              <w:bottom w:w="55" w:type="dxa"/>
              <w:right w:w="55" w:type="dxa"/>
            </w:tblCellMar>
            <w:tblLook w:firstRow="0" w:noVBand="0" w:lastRow="0" w:firstColumn="0" w:lastColumn="0" w:noHBand="0" w:val="0000"/>
          </w:tblPr>
          <w:tblGrid>
            <w:gridCol w:w="4825"/>
          </w:tblGrid>
          <w:tr>
            <w:trPr/>
            <w:tc>
              <w:tcPr>
                <w:tcW w:w="4825" w:type="dxa"/>
                <w:tcBorders/>
                <w:shd w:color="auto" w:fill="auto" w:val="clear"/>
              </w:tcPr>
              <w:p>
                <w:pPr>
                  <w:pStyle w:val="Header"/>
                  <w:widowControl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Bosnia and Herzegovina</w:t>
                </w:r>
              </w:p>
              <w:p>
                <w:pPr>
                  <w:pStyle w:val="Header"/>
                  <w:widowControl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Federation of Bosnia and Herzegovina</w:t>
                </w:r>
              </w:p>
            </w:tc>
          </w:tr>
          <w:tr>
            <w:trPr/>
            <w:tc>
              <w:tcPr>
                <w:tcW w:w="4825" w:type="dxa"/>
                <w:tcBorders/>
                <w:shd w:color="auto" w:fill="auto" w:val="clear"/>
              </w:tcPr>
              <w:p>
                <w:pPr>
                  <w:pStyle w:val="Header"/>
                  <w:widowControl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CANTON SARAJEVO</w:t>
                </w:r>
              </w:p>
              <w:p>
                <w:pPr>
                  <w:pStyle w:val="NormalWeb"/>
                  <w:widowControl w:val="false"/>
                  <w:spacing w:lineRule="auto" w:line="240" w:beforeAutospacing="0" w:before="0" w:after="0"/>
                  <w:jc w:val="center"/>
                  <w:rPr>
                    <w:sz w:val="18"/>
                    <w:szCs w:val="18"/>
                  </w:rPr>
                </w:pPr>
                <w:r>
                  <w:rPr>
                    <w:b/>
                    <w:bCs/>
                    <w:sz w:val="18"/>
                    <w:szCs w:val="18"/>
                  </w:rPr>
                  <w:t>Ministry for Health</w:t>
                </w:r>
              </w:p>
              <w:p>
                <w:pPr>
                  <w:pStyle w:val="Header"/>
                  <w:widowControl w:val="false"/>
                  <w:snapToGrid w:val="false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</w:r>
              </w:p>
            </w:tc>
          </w:tr>
        </w:tbl>
        <w:p>
          <w:pPr>
            <w:pStyle w:val="Header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bs-BA" w:eastAsia="bs-B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078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7052e"/>
    <w:rPr>
      <w:rFonts w:ascii="Tahoma" w:hAnsi="Tahoma" w:eastAsia="SimSun" w:cs="Mangal"/>
      <w:kern w:val="2"/>
      <w:sz w:val="16"/>
      <w:szCs w:val="14"/>
      <w:lang w:eastAsia="zh-CN" w:bidi="hi-IN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130dc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3c6216"/>
    <w:rPr>
      <w:b/>
      <w:bCs/>
    </w:rPr>
  </w:style>
  <w:style w:type="character" w:styleId="Emphasis">
    <w:name w:val="Emphasis"/>
    <w:basedOn w:val="DefaultParagraphFont"/>
    <w:uiPriority w:val="20"/>
    <w:qFormat/>
    <w:rsid w:val="001c26e5"/>
    <w:rPr>
      <w:i/>
      <w:iCs/>
    </w:rPr>
  </w:style>
  <w:style w:type="character" w:styleId="WW8Num39z3">
    <w:name w:val="WW8Num39z3"/>
    <w:qFormat/>
    <w:rPr>
      <w:rFonts w:ascii="Symbol" w:hAnsi="Symbol" w:cs="Symbol"/>
    </w:rPr>
  </w:style>
  <w:style w:type="character" w:styleId="WW8Num39z1">
    <w:name w:val="WW8Num39z1"/>
    <w:qFormat/>
    <w:rPr>
      <w:rFonts w:ascii="Courier New" w:hAnsi="Courier New" w:cs="Courier New"/>
    </w:rPr>
  </w:style>
  <w:style w:type="character" w:styleId="WW8Num39z0">
    <w:name w:val="WW8Num39z0"/>
    <w:qFormat/>
    <w:rPr>
      <w:rFonts w:ascii="Times New Roman" w:hAnsi="Times New Roman" w:eastAsia="Times New Roman" w:cs="Times New Roman"/>
    </w:rPr>
  </w:style>
  <w:style w:type="character" w:styleId="WW8Num38z0">
    <w:name w:val="WW8Num38z0"/>
    <w:qFormat/>
    <w:rPr>
      <w:rFonts w:ascii="Times New Roman" w:hAnsi="Times New Roman" w:cs="Times New Roman"/>
    </w:rPr>
  </w:style>
  <w:style w:type="character" w:styleId="WW8Num36z3">
    <w:name w:val="WW8Num36z3"/>
    <w:qFormat/>
    <w:rPr>
      <w:rFonts w:ascii="Symbol" w:hAnsi="Symbol" w:cs="Symbol"/>
    </w:rPr>
  </w:style>
  <w:style w:type="character" w:styleId="WW8Num36z1">
    <w:name w:val="WW8Num36z1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Times New Roman" w:hAnsi="Times New Roman" w:eastAsia="Times New Roman" w:cs="Times New Roman"/>
    </w:rPr>
  </w:style>
  <w:style w:type="character" w:styleId="WW8Num34z3">
    <w:name w:val="WW8Num34z3"/>
    <w:qFormat/>
    <w:rPr>
      <w:rFonts w:ascii="Symbol" w:hAnsi="Symbol" w:cs="Symbol"/>
    </w:rPr>
  </w:style>
  <w:style w:type="character" w:styleId="WW8Num34z1">
    <w:name w:val="WW8Num34z1"/>
    <w:qFormat/>
    <w:rPr>
      <w:rFonts w:ascii="Courier New" w:hAnsi="Courier New" w:cs="Courier New"/>
    </w:rPr>
  </w:style>
  <w:style w:type="character" w:styleId="WW8Num34z0">
    <w:name w:val="WW8Num34z0"/>
    <w:qFormat/>
    <w:rPr>
      <w:rFonts w:ascii="Times New Roman" w:hAnsi="Times New Roman" w:eastAsia="Times New Roman" w:cs="Times New Roman"/>
    </w:rPr>
  </w:style>
  <w:style w:type="character" w:styleId="WW8Num33z3">
    <w:name w:val="WW8Num33z3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0">
    <w:name w:val="WW8Num33z0"/>
    <w:qFormat/>
    <w:rPr>
      <w:rFonts w:ascii="Times New Roman" w:hAnsi="Times New Roman" w:eastAsia="Times New Roman" w:cs="Times New Roman"/>
    </w:rPr>
  </w:style>
  <w:style w:type="character" w:styleId="WW8Num26z3">
    <w:name w:val="WW8Num26z3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Times New Roman" w:hAnsi="Times New Roman" w:eastAsia="Times New Roman" w:cs="Times New Roman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0">
    <w:name w:val="WW8Num23z0"/>
    <w:qFormat/>
    <w:rPr>
      <w:rFonts w:ascii="Times New Roman" w:hAnsi="Times New Roman" w:eastAsia="Times New Roman" w:cs="Times New Roman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Times New Roman" w:hAnsi="Times New Roman" w:eastAsia="Times New Roman" w:cs="Times New Roman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eastAsia="Times New Roman" w:cs="Times New Roman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0z0">
    <w:name w:val="WW8Num10z0"/>
    <w:qFormat/>
    <w:rPr>
      <w:b w:val="false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DefaultParagraphFont1">
    <w:name w:val="WW-Default Paragraph Font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DefaultParagraphFont">
    <w:name w:val="WW-Default Paragraph Font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8z0">
    <w:name w:val="WW8Num8z0"/>
    <w:qFormat/>
    <w:rPr>
      <w:rFonts w:ascii="Times New Roman" w:hAnsi="Times New Roman" w:cs="Times New Roman"/>
      <w:b w:val="false"/>
      <w:bCs w:val="false"/>
      <w:sz w:val="24"/>
      <w:szCs w:val="24"/>
      <w:lang w:val="bs-BA" w:eastAsia="en-GB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7z1">
    <w:name w:val="WW8Num7z1"/>
    <w:qFormat/>
    <w:rPr>
      <w:rFonts w:ascii="OpenSymbol" w:hAnsi="OpenSymbol" w:cs="OpenSymbol"/>
    </w:rPr>
  </w:style>
  <w:style w:type="character" w:styleId="WW8Num5z0">
    <w:name w:val="WW8Num5z0"/>
    <w:qFormat/>
    <w:rPr>
      <w:rFonts w:ascii="Times New Roman" w:hAnsi="Times New Roman" w:cs="Times New Roman"/>
      <w:b w:val="false"/>
      <w:bCs w:val="false"/>
      <w:color w:val="auto"/>
      <w:sz w:val="24"/>
      <w:szCs w:val="24"/>
      <w:lang w:val="bs-BA" w:eastAsia="en-GB"/>
    </w:rPr>
  </w:style>
  <w:style w:type="character" w:styleId="WW8Num4z0">
    <w:name w:val="WW8Num4z0"/>
    <w:qFormat/>
    <w:rPr>
      <w:rFonts w:ascii="Times New Roman" w:hAnsi="Times New Roman" w:cs="Times New Roman"/>
      <w:b w:val="false"/>
      <w:bCs w:val="false"/>
      <w:color w:val="000000"/>
      <w:sz w:val="24"/>
      <w:szCs w:val="24"/>
      <w:u w:val="none"/>
      <w:lang w:val="bs-BA" w:eastAsia="en-GB"/>
    </w:rPr>
  </w:style>
  <w:style w:type="character" w:styleId="WW8Num3z0">
    <w:name w:val="WW8Num3z0"/>
    <w:qFormat/>
    <w:rPr>
      <w:rFonts w:ascii="Times New Roman" w:hAnsi="Times New Roman" w:cs="Times New Roman"/>
      <w:b w:val="false"/>
      <w:bCs w:val="false"/>
      <w:color w:val="auto"/>
      <w:sz w:val="24"/>
      <w:szCs w:val="24"/>
      <w:lang w:val="bs-BA" w:eastAsia="en-GB"/>
    </w:rPr>
  </w:style>
  <w:style w:type="character" w:styleId="WW8Num2z0">
    <w:name w:val="WW8Num2z0"/>
    <w:qFormat/>
    <w:rPr>
      <w:rFonts w:ascii="Symbol" w:hAnsi="Symbol" w:cs="Symbol"/>
      <w:color w:val="000000"/>
      <w:sz w:val="24"/>
      <w:szCs w:val="24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052e"/>
    <w:pPr/>
    <w:rPr>
      <w:rFonts w:ascii="Tahoma" w:hAnsi="Tahoma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qFormat/>
    <w:rsid w:val="00b05450"/>
    <w:pPr>
      <w:suppressAutoHyphens w:val="false"/>
      <w:spacing w:lineRule="auto" w:line="288" w:beforeAutospacing="1" w:after="142"/>
    </w:pPr>
    <w:rPr>
      <w:lang w:eastAsia="bs-BA"/>
    </w:rPr>
  </w:style>
  <w:style w:type="paragraph" w:styleId="Western" w:customStyle="1">
    <w:name w:val="western"/>
    <w:basedOn w:val="Normal"/>
    <w:uiPriority w:val="99"/>
    <w:qFormat/>
    <w:rsid w:val="00b05450"/>
    <w:pPr>
      <w:suppressAutoHyphens w:val="false"/>
      <w:spacing w:lineRule="auto" w:line="288" w:beforeAutospacing="1" w:after="142"/>
    </w:pPr>
    <w:rPr>
      <w:sz w:val="22"/>
      <w:szCs w:val="22"/>
      <w:lang w:eastAsia="bs-BA"/>
    </w:rPr>
  </w:style>
  <w:style w:type="paragraph" w:styleId="ListParagraph">
    <w:name w:val="List Paragraph"/>
    <w:basedOn w:val="Normal"/>
    <w:uiPriority w:val="34"/>
    <w:qFormat/>
    <w:rsid w:val="00210d15"/>
    <w:pPr>
      <w:spacing w:before="0" w:after="0"/>
      <w:ind w:left="720" w:hanging="0"/>
      <w:contextualSpacing/>
    </w:pPr>
    <w:rPr>
      <w:szCs w:val="21"/>
    </w:rPr>
  </w:style>
  <w:style w:type="paragraph" w:styleId="NoSpacing">
    <w:name w:val="No Spacing"/>
    <w:uiPriority w:val="1"/>
    <w:qFormat/>
    <w:rsid w:val="00b6666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ar-SA" w:bidi="ar-SA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hr-HR" w:eastAsia="zh-CN" w:bidi="ar-SA"/>
    </w:rPr>
  </w:style>
  <w:style w:type="paragraph" w:styleId="ListContinue2">
    <w:name w:val="List Continue 2"/>
    <w:basedOn w:val="Normal"/>
    <w:qFormat/>
    <w:pPr>
      <w:spacing w:before="0" w:after="120"/>
      <w:ind w:left="720" w:hanging="0"/>
    </w:pPr>
    <w:rPr/>
  </w:style>
  <w:style w:type="paragraph" w:styleId="WWListBullet2">
    <w:name w:val="WW-List Bullet 2"/>
    <w:basedOn w:val="Normal"/>
    <w:qFormat/>
    <w:pPr>
      <w:ind w:left="720" w:hanging="360"/>
    </w:pPr>
    <w:rPr/>
  </w:style>
  <w:style w:type="paragraph" w:styleId="ListBullet">
    <w:name w:val="List Bullet"/>
    <w:basedOn w:val="Normal"/>
    <w:qFormat/>
    <w:pPr>
      <w:ind w:left="360" w:hanging="360"/>
    </w:pPr>
    <w:rPr/>
  </w:style>
  <w:style w:type="paragraph" w:styleId="Closing">
    <w:name w:val="Closing"/>
    <w:basedOn w:val="Normal"/>
    <w:qFormat/>
    <w:pPr>
      <w:ind w:left="4320" w:hanging="0"/>
    </w:pPr>
    <w:rPr/>
  </w:style>
  <w:style w:type="paragraph" w:styleId="ListBullet2">
    <w:name w:val="List Bullet 2"/>
    <w:basedOn w:val="Normal"/>
    <w:qFormat/>
    <w:pPr>
      <w:ind w:left="720" w:hanging="360"/>
    </w:pPr>
    <w:rPr/>
  </w:style>
  <w:style w:type="paragraph" w:styleId="DocumentMap">
    <w:name w:val="Document Map"/>
    <w:basedOn w:val="Normal"/>
    <w:qFormat/>
    <w:pPr>
      <w:shd w:fill="000080"/>
    </w:pPr>
    <w:rPr>
      <w:rFonts w:ascii="Tahoma" w:hAnsi="Tahoma" w:cs="Tahom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307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MINISTARSTVA_MO_2022_v3</Template>
  <TotalTime>22</TotalTime>
  <Application>LibreOffice/7.2.7.2$Windows_X86_64 LibreOffice_project/8d71d29d553c0f7dcbfa38fbfda25ee34cce99a2</Application>
  <AppVersion>15.0000</AppVersion>
  <Pages>5</Pages>
  <Words>288</Words>
  <Characters>2028</Characters>
  <CharactersWithSpaces>2503</CharactersWithSpaces>
  <Paragraphs>169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Trešnjo</dc:creator>
  <dc:description/>
  <dc:language>en-GB</dc:language>
  <cp:lastModifiedBy/>
  <dcterms:modified xsi:type="dcterms:W3CDTF">2026-04-13T09:50:15Z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